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7E8F5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闻辉：</w:t>
      </w:r>
      <w:r>
        <w:rPr>
          <w:rFonts w:hint="default" w:ascii="Times New Roman" w:hAnsi="Times New Roman" w:cs="Times New Roman"/>
          <w:sz w:val="28"/>
          <w:szCs w:val="28"/>
        </w:rPr>
        <w:t>博士，副教授，人工智能学院副院长，毕业于深圳大学信息与通信工程专业。研究方向为智能信息处理、机器学习、神经网络优化。主持福建省自然科学基金2项，发表SCI论文15篇，授权发明专利1项，获福建省科技进步奖三等奖1项，入选福建省C类人才、莆田市“壶兰英才”。</w:t>
      </w:r>
    </w:p>
    <w:p w14:paraId="0752A17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林俊武：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博士，副教授，毕业于厦门大学电路与系统专业。研究方向为深度学习、医学图像处理、智能诊断系统。主持福建省自然科学基金2项、横向项目1项，发表SCI/EI论文6篇，指导多项国家级竞赛获奖。</w:t>
      </w:r>
    </w:p>
    <w:p w14:paraId="05739A3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黄淋云：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博士，副教授，毕业于韩国全南国立大学生物电子医学工程专业。研究方向为人工智能情感模型、非线性动力学、分数阶情感网络。主持福建省自然科学基金、省级教改项目，发表SCI论文10余篇，授权专利2项。</w:t>
      </w:r>
    </w:p>
    <w:p w14:paraId="64D5C21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李文君：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博士，副教授，毕业于中国科学院大学凝聚态物理专业。研究方向为量子人工智能、量子计算、张量网络。主持校级人才引进项目，在量子态层析、特征提取等领域发表多篇高水平论文（含arXiv及NeurIPS workshop）。</w:t>
      </w:r>
    </w:p>
    <w:p w14:paraId="6D51606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郑树挺：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博士，讲师，毕业于澳门城市大学计算机专业。研究方向为人工智能技术、智能体及大模型。主持校级科研启动项目，在LabonaChip、ACS Nano等期刊发表SCI论文6篇，授权国家发明专利2项。</w:t>
      </w:r>
    </w:p>
    <w:p w14:paraId="0CD6932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陈福：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博士，讲师，毕业于澳门科技大学人工智能专业。主要研究方向为机器学习与量子计算的交叉领域，重点探索量子自注意力模型。在量子计算领域发表多篇高水平论文。</w:t>
      </w:r>
    </w:p>
    <w:p w14:paraId="756166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2026-08-19T15:06:11Z</dcterms:created>
  <dc:creator>陈航</dc:creator>
  <cp:lastModifiedBy>陈航</cp:lastModifiedBy>
  <dcterms:modified xsi:type="dcterms:W3CDTF">2026-08-19T15:06:17Z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DF037BC28C1D40998B244ED43C9F7DD0_12</vt:lpwstr>
  </property>
</Properties>
</file>