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3D531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李震：</w:t>
      </w:r>
      <w:r>
        <w:rPr>
          <w:rFonts w:hint="default" w:ascii="Times New Roman" w:hAnsi="Times New Roman" w:cs="Times New Roman"/>
          <w:sz w:val="28"/>
          <w:szCs w:val="28"/>
        </w:rPr>
        <w:t>博士，副教授，国际商务硕士专业负责人，毕业于上海财经大学市场营销学专业。研究方向为品牌管理。主持国家社科基金一般项目1项，在SSCI、SCI、CSSCI、CSCD发表论文10余篇（均为一作）。获第三届中国商业经济学会优秀论文特等奖、中国商业统计学会优秀论文一等奖、福建省广告与新媒体营销创新优秀成果一等奖等，莆田学院2022年度科研优秀贡献奖、2024年度科研工作先进个人。</w:t>
      </w:r>
    </w:p>
    <w:p w14:paraId="319BD93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罗丹：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华中农业大学企业管理专业。研究方向为消费者行为。主持省社科项目4项，科技厅项目1项，发表论文20余篇，专著1部。获成都市天府新区文化创意产业课题优秀成果一等奖、四川省自贡市第十八次社会科学优秀成果一等奖等。</w:t>
      </w:r>
    </w:p>
    <w:p w14:paraId="595CA8D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孙忠锋：</w:t>
      </w:r>
      <w:r>
        <w:rPr>
          <w:rFonts w:hint="default" w:ascii="Times New Roman" w:hAnsi="Times New Roman" w:cs="Times New Roman"/>
          <w:sz w:val="28"/>
          <w:szCs w:val="28"/>
        </w:rPr>
        <w:t>博士，副教授，市场营销系主任，毕业于厦门大学管理科学与工程专业。研究方向为营销决策。主持福建省社会科学基金、福建省自然科学基金项目各1项，发表学术论文10余篇。获莆田市数学学会2025年度优秀论文三等奖。</w:t>
      </w:r>
    </w:p>
    <w:p w14:paraId="44452B3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陈丽群：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硕士，讲师，毕业于广东外语外贸大学企业管理专业。研究方向为消费者行为。先后发表论文多篇。</w:t>
      </w:r>
    </w:p>
    <w:p w14:paraId="3BBE62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6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2026-08-19T15:24:52Z</dcterms:created>
  <dc:creator>陈航</dc:creator>
  <cp:lastModifiedBy>陈航</cp:lastModifiedBy>
  <dcterms:modified xsi:type="dcterms:W3CDTF">2026-08-19T15:24:57Z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C994362915F548F4B890C2455FA100F8_12</vt:lpwstr>
  </property>
</Properties>
</file>