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B55AA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林元模：</w:t>
      </w:r>
      <w:r>
        <w:rPr>
          <w:rFonts w:hint="default" w:ascii="Times New Roman" w:hAnsi="Times New Roman" w:cs="Times New Roman"/>
          <w:sz w:val="28"/>
          <w:szCs w:val="28"/>
        </w:rPr>
        <w:t>在读博士，副高职称，毕业于陆军工程大学电子科学与技术专业。研究方向为智能优化算法、机器学习、无线通信、无人机辅助应急通信。主持福建省自然科学基金面上项目等，发表SCI论文8篇，授权国家发明专利3项，指导学生多项竞赛获奖。</w:t>
      </w:r>
    </w:p>
    <w:p w14:paraId="6F091BB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雷中岳：</w:t>
      </w:r>
      <w:r>
        <w:rPr>
          <w:rFonts w:hint="default" w:ascii="Times New Roman" w:hAnsi="Times New Roman" w:cs="Times New Roman"/>
          <w:sz w:val="28"/>
          <w:szCs w:val="28"/>
        </w:rPr>
        <w:t>博士，通信工程系主任，毕业于厦门大学通信与信息系统专业。研究方向为人机协同的多任务渐进语义图像编码。主持福建省自然科学基金面上项目、人才引进项目，发表SCI论文6篇，授权国家发明专利3项。</w:t>
      </w:r>
    </w:p>
    <w:p w14:paraId="5B73A5F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留黎钦：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硕士，副教授，毕业于南京邮电大学信号与信息处理专业。研究方向为微波滤波器优化设计、5G通信系统关键技术（含AI辅助优化）。主持福建省自然基金2项，发表SCI论文5篇，授权实用新型专利4项。</w:t>
      </w:r>
    </w:p>
    <w:p w14:paraId="14CFD5C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林小李：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博士，讲师，毕业于东北大学计算机科学与技术专业。研究方向为工业互联网及网络安全。发表IEEE Internet of Things Journal等SCI收录刊物4篇。</w:t>
      </w:r>
    </w:p>
    <w:p w14:paraId="67E76D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E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2026-08-19T15:06:44Z</dcterms:created>
  <dc:creator>陈航</dc:creator>
  <cp:lastModifiedBy>陈航</cp:lastModifiedBy>
  <dcterms:modified xsi:type="dcterms:W3CDTF">2026-08-19T15:06:53Z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C8416FE3A80041EE9B58412AAE190472_12</vt:lpwstr>
  </property>
</Properties>
</file>