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03A49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韩丽红：</w:t>
      </w:r>
      <w:r>
        <w:rPr>
          <w:rFonts w:hint="default" w:ascii="Times New Roman" w:hAnsi="Times New Roman" w:cs="Times New Roman"/>
          <w:sz w:val="28"/>
          <w:szCs w:val="28"/>
        </w:rPr>
        <w:t>博士，教授，主任，毕业于首都医科大学细胞生物学专业。研究方向为生物化学与分子生物学。发表SCI论文3篇，主持省科技厅项目1项，市厅级项目3项，发明专利3项。莆田学院科研先进个人，内蒙古科技进步二等奖（排名第三）。</w:t>
      </w:r>
    </w:p>
    <w:p w14:paraId="01A2C7A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李小妹：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博士，副教授，毕业于厦门大学生理学专业。研究方向为生物化学与分子生物学。发表SCI论文2篇。省级C类人才。</w:t>
      </w:r>
    </w:p>
    <w:p w14:paraId="6D35E31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潘思：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博士，副教授，毕业于清华大学生物学专业。研究方向为生物化学与分子生物学。发表SCI论文2篇，科技核心1篇，主持省厅级项目1项。省级C类人才。</w:t>
      </w:r>
    </w:p>
    <w:p w14:paraId="283EFBD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林伟：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博士，讲师，毕业于复旦大学生物学专业。研究方向为神经生物学。主持省厅级项目1项。省级C类人才。</w:t>
      </w:r>
    </w:p>
    <w:p w14:paraId="5223162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颜桑桑：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硕士，讲师，毕业于福建医科大学流行病与卫生统计学专业。研究方向为慢病流行病学。主持厅级项目2项，主持校级项目2项。</w:t>
      </w:r>
    </w:p>
    <w:p w14:paraId="60E72F9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肖丽生：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博士，讲师，毕业于厦门大学生物化学与分子生物学专业。研究方向为生物化学与分子生物学。第一作者发表SCI论文3篇。省级C类人才。</w:t>
      </w:r>
    </w:p>
    <w:p w14:paraId="41C874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89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2026-08-19T15:21:19Z</dcterms:created>
  <dc:creator>陈航</dc:creator>
  <cp:lastModifiedBy>陈航</cp:lastModifiedBy>
  <dcterms:modified xsi:type="dcterms:W3CDTF">2026-08-19T15:21:24Z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445D5747A4DD4F77956ACA548FF10141_12</vt:lpwstr>
  </property>
</Properties>
</file>